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3" w:rsidRDefault="00F470D3" w:rsidP="00F470D3">
      <w:pPr>
        <w:jc w:val="center"/>
        <w:rPr>
          <w:rFonts w:ascii="Times New Roman" w:hAnsi="Times New Roman"/>
          <w:sz w:val="36"/>
        </w:rPr>
      </w:pPr>
      <w:r>
        <w:rPr>
          <w:rFonts w:ascii="Times New Roman" w:hAnsi="Times New Roman"/>
          <w:sz w:val="36"/>
        </w:rPr>
        <w:t>APPENDIX:</w:t>
      </w:r>
    </w:p>
    <w:p w:rsidR="00F470D3" w:rsidRDefault="00F470D3" w:rsidP="00F470D3">
      <w:pPr>
        <w:pStyle w:val="Heading3"/>
        <w:jc w:val="center"/>
        <w:rPr>
          <w:i w:val="0"/>
          <w:iCs w:val="0"/>
          <w:sz w:val="52"/>
        </w:rPr>
      </w:pPr>
      <w:r>
        <w:rPr>
          <w:b/>
          <w:bCs/>
          <w:i w:val="0"/>
          <w:iCs w:val="0"/>
          <w:sz w:val="52"/>
        </w:rPr>
        <w:t>Transition Plans</w:t>
      </w:r>
    </w:p>
    <w:p w:rsidR="00F470D3" w:rsidRDefault="00F470D3" w:rsidP="00F470D3">
      <w:pPr>
        <w:jc w:val="center"/>
        <w:rPr>
          <w:rFonts w:ascii="Times New Roman" w:hAnsi="Times New Roman"/>
          <w:b/>
          <w:i/>
          <w:sz w:val="22"/>
        </w:rPr>
      </w:pPr>
    </w:p>
    <w:p w:rsidR="00F470D3" w:rsidRDefault="00F470D3" w:rsidP="00F470D3">
      <w:pPr>
        <w:rPr>
          <w:rFonts w:ascii="Times New Roman" w:hAnsi="Times New Roman"/>
          <w:b/>
          <w:iCs/>
          <w:sz w:val="22"/>
        </w:rPr>
      </w:pPr>
    </w:p>
    <w:p w:rsidR="00F470D3" w:rsidRDefault="00F470D3" w:rsidP="00F470D3">
      <w:pPr>
        <w:rPr>
          <w:rFonts w:ascii="Times New Roman" w:hAnsi="Times New Roman"/>
          <w:b/>
          <w:iCs/>
          <w:sz w:val="22"/>
        </w:rPr>
      </w:pPr>
      <w:r>
        <w:rPr>
          <w:rFonts w:ascii="Times New Roman" w:hAnsi="Times New Roman"/>
          <w:b/>
          <w:iCs/>
          <w:sz w:val="22"/>
        </w:rPr>
        <w:t>INTRODUCTION:</w:t>
      </w:r>
    </w:p>
    <w:p w:rsidR="00F470D3" w:rsidRDefault="00F470D3" w:rsidP="00F470D3">
      <w:pPr>
        <w:rPr>
          <w:rFonts w:ascii="Times New Roman" w:hAnsi="Times New Roman"/>
          <w:bCs/>
          <w:iCs/>
          <w:sz w:val="22"/>
        </w:rPr>
      </w:pPr>
      <w:r>
        <w:rPr>
          <w:rFonts w:ascii="Times New Roman" w:hAnsi="Times New Roman"/>
          <w:bCs/>
          <w:iCs/>
          <w:sz w:val="22"/>
        </w:rPr>
        <w:t>Following a high profile suicide attempt, and/or hospitalization, returning to the school, home and or community can be a stressful and worrisome time for everyone involved.  Taking steps to provide for a seamless transition is the best way to reduce the stress and the potential risk for a future attempt.  To be most effective, communication, dialogue and planning should start as soon after the incident as possible.  The transition plan overlaps with the Safety Plan (see appendix), and should be done in conjunction with or following the development of a comprehensive safety plan.  Suggested activities for the transition plan include:</w:t>
      </w:r>
    </w:p>
    <w:p w:rsidR="00F470D3" w:rsidRDefault="00F470D3" w:rsidP="00F470D3">
      <w:pPr>
        <w:rPr>
          <w:rFonts w:ascii="Times New Roman" w:hAnsi="Times New Roman"/>
          <w:sz w:val="22"/>
        </w:rPr>
      </w:pPr>
    </w:p>
    <w:p w:rsidR="00F470D3" w:rsidRDefault="00F470D3" w:rsidP="00F470D3">
      <w:pPr>
        <w:numPr>
          <w:ilvl w:val="0"/>
          <w:numId w:val="1"/>
        </w:numPr>
        <w:spacing w:after="120"/>
        <w:rPr>
          <w:rFonts w:ascii="Times New Roman" w:hAnsi="Times New Roman"/>
          <w:sz w:val="22"/>
        </w:rPr>
      </w:pPr>
      <w:r>
        <w:rPr>
          <w:rFonts w:ascii="Times New Roman" w:hAnsi="Times New Roman"/>
          <w:sz w:val="22"/>
        </w:rPr>
        <w:t>Identify barriers/stressors involved in returning to home, school and or community:</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Get input from the youth and family about what they perceive the barriers to be.</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Involve the key players in these systems in the transition planning process.</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 xml:space="preserve">Address issues of confidentiality and benefits/risks of sharing </w:t>
      </w:r>
      <w:smartTag w:uri="urn:schemas-microsoft-com:office:smarttags" w:element="PersonName">
        <w:r>
          <w:rPr>
            <w:rFonts w:ascii="Times New Roman" w:hAnsi="Times New Roman"/>
            <w:sz w:val="22"/>
          </w:rPr>
          <w:t>info</w:t>
        </w:r>
      </w:smartTag>
      <w:r>
        <w:rPr>
          <w:rFonts w:ascii="Times New Roman" w:hAnsi="Times New Roman"/>
          <w:sz w:val="22"/>
        </w:rPr>
        <w:t>rmation w/parents, client, school, others:</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 xml:space="preserve">If parents/youth are reluctant to sign releases of </w:t>
      </w:r>
      <w:smartTag w:uri="urn:schemas-microsoft-com:office:smarttags" w:element="PersonName">
        <w:r>
          <w:rPr>
            <w:rFonts w:ascii="Times New Roman" w:hAnsi="Times New Roman"/>
            <w:sz w:val="22"/>
          </w:rPr>
          <w:t>info</w:t>
        </w:r>
      </w:smartTag>
      <w:r>
        <w:rPr>
          <w:rFonts w:ascii="Times New Roman" w:hAnsi="Times New Roman"/>
          <w:sz w:val="22"/>
        </w:rPr>
        <w:t>rmation, make them aware that the best way to reduce the risk of future suicide attempts is by decreasing isolation and improving the safety net by involving key people in the youth’s support system and letting them know what is going on and what to watch out for.  (In other words, keeping the attempt “quiet” or a secret is likely to increase risk for future attempts).</w:t>
      </w:r>
    </w:p>
    <w:p w:rsidR="00F470D3" w:rsidRDefault="00F470D3" w:rsidP="00F470D3">
      <w:pPr>
        <w:numPr>
          <w:ilvl w:val="2"/>
          <w:numId w:val="1"/>
        </w:numPr>
        <w:spacing w:after="120"/>
        <w:rPr>
          <w:rFonts w:ascii="Times New Roman" w:hAnsi="Times New Roman"/>
          <w:sz w:val="22"/>
        </w:rPr>
      </w:pPr>
      <w:r>
        <w:rPr>
          <w:rFonts w:ascii="Times New Roman" w:hAnsi="Times New Roman"/>
          <w:sz w:val="22"/>
        </w:rPr>
        <w:t xml:space="preserve">If the youth is an adult and refuses to sign a release for family members, NH law provides for disclosure in certain situations to the youth’s immediate family or </w:t>
      </w:r>
      <w:proofErr w:type="gramStart"/>
      <w:r>
        <w:rPr>
          <w:rFonts w:ascii="Times New Roman" w:hAnsi="Times New Roman"/>
          <w:sz w:val="22"/>
        </w:rPr>
        <w:t>caretaker(</w:t>
      </w:r>
      <w:proofErr w:type="gramEnd"/>
      <w:r>
        <w:rPr>
          <w:rFonts w:ascii="Times New Roman" w:hAnsi="Times New Roman"/>
          <w:sz w:val="22"/>
        </w:rPr>
        <w:t>is they live together).  Review the law on Disclosure of Information in the RSA section</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Having school personnel explain levels of confidentiality and what happens to these records might be helpful (e.g. most schools keep a separate health record that has very limited access- is never transferred or disclosed e.g. college, and is destroyed when the student leaves the school.)</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 xml:space="preserve">Insure that hospital discharge summaries, (or outpatient evaluation) and recommendations or other critical </w:t>
      </w:r>
      <w:smartTag w:uri="urn:schemas-microsoft-com:office:smarttags" w:element="PersonName">
        <w:r>
          <w:rPr>
            <w:rFonts w:ascii="Times New Roman" w:hAnsi="Times New Roman"/>
            <w:sz w:val="22"/>
          </w:rPr>
          <w:t>info</w:t>
        </w:r>
      </w:smartTag>
      <w:r>
        <w:rPr>
          <w:rFonts w:ascii="Times New Roman" w:hAnsi="Times New Roman"/>
          <w:sz w:val="22"/>
        </w:rPr>
        <w:t>rmation is communicated in a timely manner, preferably prior to the individual returning to the community.</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The discharge planning process should include a frank discussion of risks with the client, family, and significant others.</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This should also include specific instructions on who to call during a crisis.</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(Refer to discharge/safety plan in appendix.</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Referral for follow up mental health services and medication monitoring when appropriate:</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Initiate this process as quickly as possible to reduce waiting for intake.</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 xml:space="preserve">When indicated, advocate for emergency or </w:t>
      </w:r>
      <w:proofErr w:type="gramStart"/>
      <w:r>
        <w:rPr>
          <w:rFonts w:ascii="Times New Roman" w:hAnsi="Times New Roman"/>
          <w:sz w:val="22"/>
        </w:rPr>
        <w:t>more timely</w:t>
      </w:r>
      <w:proofErr w:type="gramEnd"/>
      <w:r>
        <w:rPr>
          <w:rFonts w:ascii="Times New Roman" w:hAnsi="Times New Roman"/>
          <w:sz w:val="22"/>
        </w:rPr>
        <w:t xml:space="preserve"> appointment.</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Insure that client has adequate medications to cover until his/her next appointment.</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lastRenderedPageBreak/>
        <w:t>School may opt to request a note from treating physician indicating it is OK for student to return to school (if the disclosure, threat or attempt happened on school grounds).</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A formal discharge order from the hospital/doctor may be sufficient.</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 xml:space="preserve">Note: Most treatment providers will only indicate the individual is “safe to return to the community.” Each agency/school should determine for </w:t>
      </w:r>
      <w:proofErr w:type="gramStart"/>
      <w:r>
        <w:rPr>
          <w:rFonts w:ascii="Times New Roman" w:hAnsi="Times New Roman"/>
          <w:sz w:val="22"/>
        </w:rPr>
        <w:t>themselves</w:t>
      </w:r>
      <w:proofErr w:type="gramEnd"/>
      <w:r>
        <w:rPr>
          <w:rFonts w:ascii="Times New Roman" w:hAnsi="Times New Roman"/>
          <w:sz w:val="22"/>
        </w:rPr>
        <w:t xml:space="preserve"> what criteria there is for participating in services and how they will be evaluate this.  </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 xml:space="preserve">Assess whether some type of work or debriefing needs to be done with other students at the school prior to the individual returning. (This is very important, especially if other students witnessed the attempt).  Refer to </w:t>
      </w:r>
      <w:proofErr w:type="spellStart"/>
      <w:r>
        <w:rPr>
          <w:rFonts w:ascii="Times New Roman" w:hAnsi="Times New Roman"/>
          <w:sz w:val="22"/>
        </w:rPr>
        <w:t>postvention</w:t>
      </w:r>
      <w:proofErr w:type="spellEnd"/>
      <w:r>
        <w:rPr>
          <w:rFonts w:ascii="Times New Roman" w:hAnsi="Times New Roman"/>
          <w:sz w:val="22"/>
        </w:rPr>
        <w:t xml:space="preserve"> protocols for more </w:t>
      </w:r>
      <w:smartTag w:uri="urn:schemas-microsoft-com:office:smarttags" w:element="PersonName">
        <w:r>
          <w:rPr>
            <w:rFonts w:ascii="Times New Roman" w:hAnsi="Times New Roman"/>
            <w:sz w:val="22"/>
          </w:rPr>
          <w:t>info</w:t>
        </w:r>
      </w:smartTag>
      <w:r>
        <w:rPr>
          <w:rFonts w:ascii="Times New Roman" w:hAnsi="Times New Roman"/>
          <w:sz w:val="22"/>
        </w:rPr>
        <w:t xml:space="preserve">rmation. </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Provide psychosocial education to family.</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Information about youth suicide warning signs, and protective factors.</w:t>
      </w:r>
    </w:p>
    <w:p w:rsidR="00F470D3" w:rsidRDefault="00F470D3" w:rsidP="00F470D3">
      <w:pPr>
        <w:numPr>
          <w:ilvl w:val="1"/>
          <w:numId w:val="1"/>
        </w:numPr>
        <w:spacing w:after="120"/>
        <w:rPr>
          <w:rFonts w:ascii="Times New Roman" w:hAnsi="Times New Roman"/>
          <w:sz w:val="22"/>
        </w:rPr>
      </w:pPr>
      <w:r>
        <w:rPr>
          <w:rFonts w:ascii="Times New Roman" w:hAnsi="Times New Roman"/>
          <w:sz w:val="22"/>
        </w:rPr>
        <w:t>Information about mental illness or substance use (if indicated).</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Connect family with local support groups such as NAMI, Al Anon, etc.</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Connect youth with local support groups such as Al-</w:t>
      </w:r>
      <w:proofErr w:type="spellStart"/>
      <w:r>
        <w:rPr>
          <w:rFonts w:ascii="Times New Roman" w:hAnsi="Times New Roman"/>
          <w:sz w:val="22"/>
        </w:rPr>
        <w:t>Ateen</w:t>
      </w:r>
      <w:proofErr w:type="spellEnd"/>
      <w:r>
        <w:rPr>
          <w:rFonts w:ascii="Times New Roman" w:hAnsi="Times New Roman"/>
          <w:sz w:val="22"/>
        </w:rPr>
        <w:t xml:space="preserve"> if available/ indicated. </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Use of a “wrap around” approach when indicated.</w:t>
      </w:r>
    </w:p>
    <w:p w:rsidR="00F470D3" w:rsidRDefault="00F470D3" w:rsidP="00F470D3">
      <w:pPr>
        <w:numPr>
          <w:ilvl w:val="0"/>
          <w:numId w:val="1"/>
        </w:numPr>
        <w:spacing w:after="120"/>
        <w:rPr>
          <w:rFonts w:ascii="Times New Roman" w:hAnsi="Times New Roman"/>
          <w:sz w:val="22"/>
        </w:rPr>
      </w:pPr>
      <w:r>
        <w:rPr>
          <w:rFonts w:ascii="Times New Roman" w:hAnsi="Times New Roman"/>
          <w:sz w:val="22"/>
        </w:rPr>
        <w:t>Identify school counselor or other staff who will assist teen in transitioning back to school.</w:t>
      </w:r>
    </w:p>
    <w:p w:rsidR="00F470D3" w:rsidRDefault="00F470D3" w:rsidP="00F470D3">
      <w:pPr>
        <w:numPr>
          <w:ilvl w:val="0"/>
          <w:numId w:val="2"/>
        </w:numPr>
        <w:spacing w:after="120"/>
        <w:rPr>
          <w:rFonts w:ascii="Times New Roman" w:hAnsi="Times New Roman"/>
          <w:sz w:val="22"/>
        </w:rPr>
      </w:pPr>
      <w:r>
        <w:rPr>
          <w:rFonts w:ascii="Times New Roman" w:hAnsi="Times New Roman"/>
          <w:sz w:val="22"/>
        </w:rPr>
        <w:t>Assist with gathering homework and missed assignments.</w:t>
      </w:r>
    </w:p>
    <w:p w:rsidR="00F470D3" w:rsidRDefault="00F470D3" w:rsidP="00F470D3">
      <w:pPr>
        <w:numPr>
          <w:ilvl w:val="0"/>
          <w:numId w:val="2"/>
        </w:numPr>
        <w:spacing w:after="120"/>
        <w:rPr>
          <w:rFonts w:ascii="Times New Roman" w:hAnsi="Times New Roman"/>
          <w:sz w:val="22"/>
        </w:rPr>
      </w:pPr>
      <w:r>
        <w:rPr>
          <w:rFonts w:ascii="Times New Roman" w:hAnsi="Times New Roman"/>
          <w:sz w:val="22"/>
        </w:rPr>
        <w:t>Connect with student or staff mentor/buddy.</w:t>
      </w:r>
    </w:p>
    <w:p w:rsidR="00F470D3" w:rsidRDefault="00F470D3" w:rsidP="00F470D3">
      <w:pPr>
        <w:numPr>
          <w:ilvl w:val="0"/>
          <w:numId w:val="2"/>
        </w:numPr>
        <w:spacing w:after="120"/>
        <w:rPr>
          <w:rFonts w:ascii="Times New Roman" w:hAnsi="Times New Roman"/>
          <w:sz w:val="22"/>
        </w:rPr>
      </w:pPr>
      <w:r>
        <w:rPr>
          <w:rFonts w:ascii="Times New Roman" w:hAnsi="Times New Roman"/>
          <w:sz w:val="22"/>
        </w:rPr>
        <w:t>Address issues of stigma with other students.</w:t>
      </w:r>
    </w:p>
    <w:p w:rsidR="00F470D3" w:rsidRDefault="00F470D3" w:rsidP="00F470D3">
      <w:pPr>
        <w:numPr>
          <w:ilvl w:val="0"/>
          <w:numId w:val="2"/>
        </w:numPr>
        <w:spacing w:after="120"/>
        <w:rPr>
          <w:rFonts w:ascii="Times New Roman" w:hAnsi="Times New Roman"/>
          <w:sz w:val="22"/>
        </w:rPr>
      </w:pPr>
      <w:r>
        <w:rPr>
          <w:rFonts w:ascii="Times New Roman" w:hAnsi="Times New Roman"/>
          <w:sz w:val="22"/>
        </w:rPr>
        <w:t>Offer education/role modeling to first circle of friends.</w:t>
      </w:r>
    </w:p>
    <w:p w:rsidR="00F470D3" w:rsidRDefault="00F470D3" w:rsidP="00F470D3">
      <w:pPr>
        <w:numPr>
          <w:ilvl w:val="0"/>
          <w:numId w:val="2"/>
        </w:numPr>
        <w:spacing w:after="120"/>
        <w:rPr>
          <w:rFonts w:ascii="Times New Roman" w:hAnsi="Times New Roman"/>
          <w:sz w:val="22"/>
        </w:rPr>
      </w:pPr>
      <w:r>
        <w:rPr>
          <w:rFonts w:ascii="Times New Roman" w:hAnsi="Times New Roman"/>
          <w:sz w:val="22"/>
        </w:rPr>
        <w:t>Advise student about how to discuss the incident/illness.</w:t>
      </w:r>
    </w:p>
    <w:p w:rsidR="00F470D3" w:rsidRDefault="00F470D3" w:rsidP="00F470D3">
      <w:pPr>
        <w:numPr>
          <w:ilvl w:val="0"/>
          <w:numId w:val="2"/>
        </w:numPr>
        <w:spacing w:after="120"/>
        <w:rPr>
          <w:rFonts w:ascii="Times New Roman" w:hAnsi="Times New Roman"/>
          <w:sz w:val="22"/>
        </w:rPr>
      </w:pPr>
      <w:r>
        <w:rPr>
          <w:rFonts w:ascii="Times New Roman" w:hAnsi="Times New Roman"/>
          <w:sz w:val="22"/>
        </w:rPr>
        <w:t>Insure proper communication flow with school personnel.</w:t>
      </w:r>
    </w:p>
    <w:p w:rsidR="00F470D3" w:rsidRDefault="00F470D3" w:rsidP="00F470D3">
      <w:pPr>
        <w:numPr>
          <w:ilvl w:val="0"/>
          <w:numId w:val="2"/>
        </w:numPr>
        <w:spacing w:after="120"/>
        <w:rPr>
          <w:rFonts w:ascii="Times New Roman" w:hAnsi="Times New Roman"/>
          <w:sz w:val="22"/>
        </w:rPr>
      </w:pPr>
      <w:r>
        <w:rPr>
          <w:rFonts w:ascii="Times New Roman" w:hAnsi="Times New Roman"/>
          <w:sz w:val="22"/>
        </w:rPr>
        <w:t>Interface with parents about transition.</w:t>
      </w:r>
    </w:p>
    <w:p w:rsidR="00F470D3" w:rsidRDefault="00F470D3" w:rsidP="00F470D3">
      <w:pPr>
        <w:numPr>
          <w:ilvl w:val="0"/>
          <w:numId w:val="2"/>
        </w:numPr>
        <w:spacing w:after="120"/>
        <w:rPr>
          <w:rFonts w:ascii="Times New Roman" w:hAnsi="Times New Roman"/>
        </w:rPr>
      </w:pPr>
      <w:r>
        <w:rPr>
          <w:rFonts w:ascii="Times New Roman" w:hAnsi="Times New Roman"/>
          <w:sz w:val="22"/>
        </w:rPr>
        <w:t>Develop a safety plan on an ongoing basis as indicated.</w:t>
      </w:r>
    </w:p>
    <w:p w:rsidR="00F470D3" w:rsidRDefault="00F470D3" w:rsidP="00F470D3">
      <w:pPr>
        <w:spacing w:after="120"/>
        <w:ind w:left="1080"/>
        <w:rPr>
          <w:rFonts w:ascii="Times New Roman" w:hAnsi="Times New Roman"/>
        </w:rPr>
      </w:pPr>
    </w:p>
    <w:p w:rsidR="00F470D3" w:rsidRDefault="00F470D3" w:rsidP="00F470D3">
      <w:pPr>
        <w:spacing w:after="120"/>
        <w:ind w:left="1080"/>
        <w:rPr>
          <w:rFonts w:ascii="Times New Roman" w:hAnsi="Times New Roman"/>
        </w:rPr>
      </w:pPr>
    </w:p>
    <w:p w:rsidR="00F470D3" w:rsidRDefault="00F470D3" w:rsidP="00F470D3">
      <w:pPr>
        <w:spacing w:after="120"/>
        <w:ind w:left="-187"/>
        <w:jc w:val="center"/>
      </w:pPr>
      <w:r>
        <w:t xml:space="preserve"> </w:t>
      </w:r>
    </w:p>
    <w:p w:rsidR="00F470D3" w:rsidRDefault="00F470D3" w:rsidP="00F470D3">
      <w:pPr>
        <w:rPr>
          <w:rFonts w:ascii="Arial" w:hAnsi="Arial" w:cs="Arial"/>
          <w:b/>
          <w:bCs/>
          <w:color w:val="000080"/>
          <w:sz w:val="22"/>
          <w:szCs w:val="22"/>
        </w:rPr>
      </w:pPr>
    </w:p>
    <w:p w:rsidR="00CB773B" w:rsidRDefault="00CB773B"/>
    <w:sectPr w:rsidR="00CB773B" w:rsidSect="00CB77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82" w:rsidRDefault="00BA1C82" w:rsidP="00627F8A">
      <w:r>
        <w:separator/>
      </w:r>
    </w:p>
  </w:endnote>
  <w:endnote w:type="continuationSeparator" w:id="0">
    <w:p w:rsidR="00BA1C82" w:rsidRDefault="00BA1C82" w:rsidP="00627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A" w:rsidRDefault="00627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4784295"/>
      <w:docPartObj>
        <w:docPartGallery w:val="Page Numbers (Bottom of Page)"/>
        <w:docPartUnique/>
      </w:docPartObj>
    </w:sdtPr>
    <w:sdtContent>
      <w:p w:rsidR="00627F8A" w:rsidRPr="00627F8A" w:rsidRDefault="00627F8A" w:rsidP="00627F8A">
        <w:pPr>
          <w:pStyle w:val="Footer"/>
          <w:tabs>
            <w:tab w:val="right" w:pos="10080"/>
          </w:tabs>
          <w:jc w:val="center"/>
          <w:rPr>
            <w:rFonts w:ascii="Times New Roman" w:hAnsi="Times New Roman"/>
            <w:sz w:val="20"/>
            <w:szCs w:val="20"/>
          </w:rPr>
        </w:pPr>
        <w:r w:rsidRPr="00627F8A">
          <w:rPr>
            <w:rFonts w:ascii="Times New Roman" w:hAnsi="Times New Roman"/>
            <w:sz w:val="20"/>
            <w:szCs w:val="20"/>
          </w:rPr>
          <w:t xml:space="preserve">Connect Suicide Prevention Project, Protocols for Community Response to Suicide Attempts &amp; Threats, 05/15/09 </w:t>
        </w:r>
        <w:proofErr w:type="gramStart"/>
        <w:r w:rsidRPr="00627F8A">
          <w:rPr>
            <w:rFonts w:ascii="Times New Roman" w:hAnsi="Times New Roman"/>
            <w:sz w:val="20"/>
            <w:szCs w:val="20"/>
          </w:rPr>
          <w:t xml:space="preserve">Version  </w:t>
        </w:r>
        <w:r w:rsidRPr="00627F8A">
          <w:rPr>
            <w:rFonts w:ascii="Times New Roman" w:hAnsi="Times New Roman"/>
            <w:b/>
            <w:bCs/>
            <w:sz w:val="20"/>
            <w:szCs w:val="20"/>
          </w:rPr>
          <w:t>©</w:t>
        </w:r>
        <w:proofErr w:type="gramEnd"/>
        <w:r w:rsidRPr="00627F8A">
          <w:rPr>
            <w:rFonts w:ascii="Times New Roman" w:hAnsi="Times New Roman"/>
            <w:b/>
            <w:bCs/>
            <w:sz w:val="20"/>
            <w:szCs w:val="20"/>
          </w:rPr>
          <w:t xml:space="preserve"> Copyright NAMI NH, 2006. </w:t>
        </w:r>
        <w:r w:rsidR="00F77B23" w:rsidRPr="00627F8A">
          <w:rPr>
            <w:rFonts w:ascii="Times New Roman" w:hAnsi="Times New Roman"/>
            <w:sz w:val="20"/>
            <w:szCs w:val="20"/>
          </w:rPr>
          <w:fldChar w:fldCharType="begin"/>
        </w:r>
        <w:r w:rsidRPr="00627F8A">
          <w:rPr>
            <w:rFonts w:ascii="Times New Roman" w:hAnsi="Times New Roman"/>
            <w:sz w:val="20"/>
            <w:szCs w:val="20"/>
          </w:rPr>
          <w:instrText xml:space="preserve"> PAGE   \* MERGEFORMAT </w:instrText>
        </w:r>
        <w:r w:rsidR="00F77B23" w:rsidRPr="00627F8A">
          <w:rPr>
            <w:rFonts w:ascii="Times New Roman" w:hAnsi="Times New Roman"/>
            <w:sz w:val="20"/>
            <w:szCs w:val="20"/>
          </w:rPr>
          <w:fldChar w:fldCharType="separate"/>
        </w:r>
        <w:r w:rsidR="00963897">
          <w:rPr>
            <w:rFonts w:ascii="Times New Roman" w:hAnsi="Times New Roman"/>
            <w:noProof/>
            <w:sz w:val="20"/>
            <w:szCs w:val="20"/>
          </w:rPr>
          <w:t>2</w:t>
        </w:r>
        <w:r w:rsidR="00F77B23" w:rsidRPr="00627F8A">
          <w:rPr>
            <w:rFonts w:ascii="Times New Roman" w:hAnsi="Times New Roman"/>
            <w:sz w:val="20"/>
            <w:szCs w:val="20"/>
          </w:rPr>
          <w:fldChar w:fldCharType="end"/>
        </w:r>
      </w:p>
    </w:sdtContent>
  </w:sdt>
  <w:p w:rsidR="00627F8A" w:rsidRPr="00627F8A" w:rsidRDefault="00627F8A" w:rsidP="00627F8A">
    <w:pPr>
      <w:pStyle w:val="Footer"/>
      <w:tabs>
        <w:tab w:val="right" w:pos="10080"/>
      </w:tabs>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A" w:rsidRDefault="00627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82" w:rsidRDefault="00BA1C82" w:rsidP="00627F8A">
      <w:r>
        <w:separator/>
      </w:r>
    </w:p>
  </w:footnote>
  <w:footnote w:type="continuationSeparator" w:id="0">
    <w:p w:rsidR="00BA1C82" w:rsidRDefault="00BA1C82" w:rsidP="00627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A" w:rsidRDefault="00627F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A" w:rsidRDefault="00627F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8A" w:rsidRDefault="00627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6E6"/>
    <w:multiLevelType w:val="hybridMultilevel"/>
    <w:tmpl w:val="40B02AD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7F321B9"/>
    <w:multiLevelType w:val="hybridMultilevel"/>
    <w:tmpl w:val="BF303E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70D3"/>
    <w:rsid w:val="00627F8A"/>
    <w:rsid w:val="00750F95"/>
    <w:rsid w:val="00963897"/>
    <w:rsid w:val="00BA1C82"/>
    <w:rsid w:val="00CB773B"/>
    <w:rsid w:val="00CF7064"/>
    <w:rsid w:val="00F470D3"/>
    <w:rsid w:val="00F77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D3"/>
    <w:pPr>
      <w:spacing w:after="0" w:line="240" w:lineRule="auto"/>
    </w:pPr>
    <w:rPr>
      <w:rFonts w:ascii="Bookman Old Style" w:eastAsia="Times New Roman" w:hAnsi="Bookman Old Style" w:cs="Times New Roman"/>
      <w:sz w:val="24"/>
      <w:szCs w:val="24"/>
    </w:rPr>
  </w:style>
  <w:style w:type="paragraph" w:styleId="Heading3">
    <w:name w:val="heading 3"/>
    <w:basedOn w:val="Normal"/>
    <w:next w:val="Normal"/>
    <w:link w:val="Heading3Char"/>
    <w:semiHidden/>
    <w:unhideWhenUsed/>
    <w:qFormat/>
    <w:rsid w:val="00F470D3"/>
    <w:pPr>
      <w:keepNext/>
      <w:outlineLvl w:val="2"/>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470D3"/>
    <w:rPr>
      <w:rFonts w:ascii="Times New Roman" w:eastAsia="Times New Roman" w:hAnsi="Times New Roman" w:cs="Times New Roman"/>
      <w:i/>
      <w:iCs/>
      <w:szCs w:val="24"/>
    </w:rPr>
  </w:style>
  <w:style w:type="paragraph" w:styleId="Header">
    <w:name w:val="header"/>
    <w:basedOn w:val="Normal"/>
    <w:link w:val="HeaderChar"/>
    <w:uiPriority w:val="99"/>
    <w:semiHidden/>
    <w:unhideWhenUsed/>
    <w:rsid w:val="00627F8A"/>
    <w:pPr>
      <w:tabs>
        <w:tab w:val="center" w:pos="4680"/>
        <w:tab w:val="right" w:pos="9360"/>
      </w:tabs>
    </w:pPr>
  </w:style>
  <w:style w:type="character" w:customStyle="1" w:styleId="HeaderChar">
    <w:name w:val="Header Char"/>
    <w:basedOn w:val="DefaultParagraphFont"/>
    <w:link w:val="Header"/>
    <w:uiPriority w:val="99"/>
    <w:semiHidden/>
    <w:rsid w:val="00627F8A"/>
    <w:rPr>
      <w:rFonts w:ascii="Bookman Old Style" w:eastAsia="Times New Roman" w:hAnsi="Bookman Old Style" w:cs="Times New Roman"/>
      <w:sz w:val="24"/>
      <w:szCs w:val="24"/>
    </w:rPr>
  </w:style>
  <w:style w:type="paragraph" w:styleId="Footer">
    <w:name w:val="footer"/>
    <w:basedOn w:val="Normal"/>
    <w:link w:val="FooterChar"/>
    <w:unhideWhenUsed/>
    <w:rsid w:val="00627F8A"/>
    <w:pPr>
      <w:tabs>
        <w:tab w:val="center" w:pos="4680"/>
        <w:tab w:val="right" w:pos="9360"/>
      </w:tabs>
    </w:pPr>
  </w:style>
  <w:style w:type="character" w:customStyle="1" w:styleId="FooterChar">
    <w:name w:val="Footer Char"/>
    <w:basedOn w:val="DefaultParagraphFont"/>
    <w:link w:val="Footer"/>
    <w:rsid w:val="00627F8A"/>
    <w:rPr>
      <w:rFonts w:ascii="Bookman Old Style" w:eastAsia="Times New Roman" w:hAnsi="Bookman Old Style" w:cs="Times New Roman"/>
      <w:sz w:val="24"/>
      <w:szCs w:val="24"/>
    </w:rPr>
  </w:style>
  <w:style w:type="character" w:styleId="PageNumber">
    <w:name w:val="page number"/>
    <w:basedOn w:val="DefaultParagraphFont"/>
    <w:rsid w:val="00627F8A"/>
  </w:style>
</w:styles>
</file>

<file path=word/webSettings.xml><?xml version="1.0" encoding="utf-8"?>
<w:webSettings xmlns:r="http://schemas.openxmlformats.org/officeDocument/2006/relationships" xmlns:w="http://schemas.openxmlformats.org/wordprocessingml/2006/main">
  <w:divs>
    <w:div w:id="2102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Company>Toshiba</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2012-02-22T23:22:00Z</dcterms:created>
  <dcterms:modified xsi:type="dcterms:W3CDTF">2012-02-22T23:22:00Z</dcterms:modified>
</cp:coreProperties>
</file>